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关于提前下达2024年中央林业草原生态保护恢复资金的通知-哈市财建（2023）89号（森林保护修复项目-国家级公益林区）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哈密市伊州区林业和草原局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哈密市伊州区林业和草原局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马合木提·赛都拉</w:t>
      </w:r>
    </w:p>
    <w:p>
      <w:pPr>
        <w:spacing w:line="540" w:lineRule="exact"/>
        <w:ind w:left="273" w:firstLine="567"/>
        <w:rPr>
          <w:rStyle w:val="19"/>
          <w:rFonts w:hint="eastAsia"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2025年05月17日</w:t>
      </w:r>
    </w:p>
    <w:p>
      <w:pPr>
        <w:spacing w:line="540" w:lineRule="exact"/>
        <w:ind w:left="273" w:firstLine="567"/>
        <w:rPr>
          <w:rStyle w:val="19"/>
          <w:rFonts w:hint="eastAsia" w:ascii="楷体" w:hAnsi="楷体" w:eastAsia="楷体"/>
          <w:spacing w:val="-4"/>
          <w:sz w:val="32"/>
          <w:szCs w:val="32"/>
        </w:rPr>
      </w:pP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哈密市财政局下达中央林业草原生态保护恢复资金705万元。2024年1月，哈密市伊州区林业和草原局组织人员编制完成了</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项目实施方案，通过了哈密市林业和草原局组织专家评审，并获得项目实施方案批复。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主要内容：国家级公益林管护面积86.67万亩，开展常态化巡护工作，提升国家级公益林管护水平。发放管</w:t>
      </w:r>
      <w:r>
        <w:rPr>
          <w:rStyle w:val="19"/>
          <w:rFonts w:hint="eastAsia" w:ascii="楷体" w:hAnsi="楷体" w:eastAsia="楷体"/>
          <w:b w:val="0"/>
          <w:bCs w:val="0"/>
          <w:spacing w:val="-4"/>
          <w:sz w:val="32"/>
          <w:szCs w:val="32"/>
          <w:lang w:val="en-US" w:eastAsia="zh-CN"/>
        </w:rPr>
        <w:t>服</w:t>
      </w:r>
      <w:r>
        <w:rPr>
          <w:rStyle w:val="19"/>
          <w:rFonts w:hint="eastAsia" w:ascii="楷体" w:hAnsi="楷体" w:eastAsia="楷体"/>
          <w:b w:val="0"/>
          <w:bCs w:val="0"/>
          <w:spacing w:val="-4"/>
          <w:sz w:val="32"/>
          <w:szCs w:val="32"/>
        </w:rPr>
        <w:t>人员劳务报酬及开展森林防火演练、宣传、培训和管护能力提升建设。</w:t>
      </w:r>
      <w:r>
        <w:cr/>
      </w:r>
      <w:r>
        <w:rPr>
          <w:rStyle w:val="19"/>
          <w:rFonts w:hint="eastAsia" w:ascii="楷体" w:hAnsi="楷体" w:eastAsia="楷体"/>
          <w:b w:val="0"/>
          <w:bCs w:val="0"/>
          <w:spacing w:val="-4"/>
          <w:sz w:val="32"/>
          <w:szCs w:val="32"/>
        </w:rPr>
        <w:t>实施情况：2024年，伊州区林业和草原局根据已批复的内容，逐项开展工作：一是委托第三方劳务派遣公司，期间由于人员流动，全年聘用管护人员97名，均签订了《劳务合同》，并按照管护人员当月考勤情况核发劳务报酬；二是根据森林资源智能管护系统运行需要，租赁中国铁塔公司哈密分公司信号基站6处，租赁中国移动公司哈密分公司网络信号，委托第三方技术单位给予森林资源智能管护系统技术支持。对森林资源智能管护系统太阳能供电系统、无线网桥以及铁塔主体等方面进行设备维修及更换。三是通过政</w:t>
      </w:r>
      <w:r>
        <w:rPr>
          <w:rStyle w:val="19"/>
          <w:rFonts w:hint="eastAsia" w:ascii="楷体" w:hAnsi="楷体" w:eastAsia="楷体"/>
          <w:b w:val="0"/>
          <w:bCs w:val="0"/>
          <w:spacing w:val="-4"/>
          <w:sz w:val="32"/>
          <w:szCs w:val="32"/>
          <w:lang w:val="en-US" w:eastAsia="zh-CN"/>
        </w:rPr>
        <w:t>府</w:t>
      </w:r>
      <w:r>
        <w:rPr>
          <w:rStyle w:val="19"/>
          <w:rFonts w:hint="eastAsia" w:ascii="楷体" w:hAnsi="楷体" w:eastAsia="楷体"/>
          <w:b w:val="0"/>
          <w:bCs w:val="0"/>
          <w:spacing w:val="-4"/>
          <w:sz w:val="32"/>
          <w:szCs w:val="32"/>
        </w:rPr>
        <w:t>采购方式购置办公、生活设备；四是哈密市伊州区国家公益林管护工作领导小组成员及哈密市伊州区公益林管护中心，采取定期、不定期的方式，深入林区对管护中心、管护站落实全年工作目标情况进行监督检查，保障林区安全稳定。五是建立健全档案，对管护人员的日常管理、工程施工管理等工作均建立健全相关档案。六是组织护林员全员业务培训，培训材料主要以法律法规、新颁布实施的</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，通过该项目的实施，伊州区86.67万亩国家级公益林得到有效保护，提供就业岗位97个，管护站设施设备逐步完善，森林资源智能管护系统正常运行。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2024年计划拨付705万元，项目于2024年1月11日批复预算资金604.48万元，截至2024年12月31日，项目用于发放管</w:t>
      </w:r>
      <w:r>
        <w:rPr>
          <w:rStyle w:val="19"/>
          <w:rFonts w:hint="eastAsia" w:ascii="楷体" w:hAnsi="楷体" w:eastAsia="楷体"/>
          <w:b w:val="0"/>
          <w:bCs w:val="0"/>
          <w:spacing w:val="-4"/>
          <w:sz w:val="32"/>
          <w:szCs w:val="32"/>
          <w:lang w:val="en-US" w:eastAsia="zh-CN"/>
        </w:rPr>
        <w:t>服</w:t>
      </w:r>
      <w:r>
        <w:rPr>
          <w:rStyle w:val="19"/>
          <w:rFonts w:hint="eastAsia" w:ascii="楷体" w:hAnsi="楷体" w:eastAsia="楷体"/>
          <w:b w:val="0"/>
          <w:bCs w:val="0"/>
          <w:spacing w:val="-4"/>
          <w:sz w:val="32"/>
          <w:szCs w:val="32"/>
        </w:rPr>
        <w:t>人员劳务报酬及开展森林防火演练、宣传、培训和管护能力提升建设，项目资金支付604.48万元，资金到位率100%，预算执行率为</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本项目总体目标为：聘用97名护林员完成对伊州区86.67万亩国家级公益林管护工作，按时定额发放全年人员劳务报酬，提高管护能力建设，保障森林资源智能管护系统正常运行。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数量指标：国有林管护面积（万亩）不低于86.67万亩；</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数量指标：各实施单位管护人员培训次数（次）不低于2次；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质量指标：实施单位管护人员培训参与率达到90%；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时效指标：国有林（国家级公益林）管护人员劳务报酬按时发放率（%）达到100%。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经济成本指标：森林保护修复（国有国家级公益林）补助成本不高于705万元。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生态效益指标：确保公益林资源得到有效保护；</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满意度指标：林区职工及周边群众满意度不低于85%。</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cr/>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组织实施：管理制度健全性，权重5分，制度执行有效性，权重6分。</w:t>
      </w:r>
      <w:r>
        <w:cr/>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数量指标：国有林管护面积数量，权重3分；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数量指标：各实施单位管护人员培训次数，权重3分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质量指标：实施单位管护人员培训参与率，权重5分；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时效指标：国有林（国家级公益林）管护人员劳务报酬按时发放率（%），权重5分。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成本指标：森林保护修复（国有国家级公益林）补助成本，权重6分。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生态效益指标：确保公益林资源得到有效保护，权重30分；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服务对象满意度指标：林区职工及周边群众满意度，权重8分。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项目支出绩效自评报告项目绩效评价主要通过项目单位自评、主管部门监督、财政部门参评的方式开展绩效评价工作。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w:t>
      </w:r>
      <w:bookmarkStart w:id="0" w:name="_GoBack"/>
      <w:bookmarkEnd w:id="0"/>
      <w:r>
        <w:rPr>
          <w:rStyle w:val="19"/>
          <w:rFonts w:hint="eastAsia" w:ascii="楷体" w:hAnsi="楷体" w:eastAsia="楷体"/>
          <w:b w:val="0"/>
          <w:bCs w:val="0"/>
          <w:spacing w:val="-4"/>
          <w:sz w:val="32"/>
          <w:szCs w:val="32"/>
        </w:rPr>
        <w:t>汇总形成。</w:t>
      </w:r>
    </w:p>
    <w:p>
      <w:pPr>
        <w:spacing w:line="540" w:lineRule="exact"/>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发放调查问卷开展林区职工满意度调查工作。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97.15</w:t>
      </w:r>
      <w:r>
        <w:rPr>
          <w:rStyle w:val="19"/>
          <w:rFonts w:hint="eastAsia" w:ascii="楷体" w:hAnsi="楷体" w:eastAsia="楷体"/>
          <w:b w:val="0"/>
          <w:bCs w:val="0"/>
          <w:spacing w:val="-4"/>
          <w:sz w:val="32"/>
          <w:szCs w:val="32"/>
        </w:rPr>
        <w:t>分，自评结果为“优/良/中/差”，其中项目决策得分14分，项目过程得分22.16分，项目产出得分22分，项目效益得分30分，项目满意度得分8分。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项目已按照规定的程序申请设立、审批文件、材料齐全，符合相关要求；项目过程方面，资金到位及时，根据相关项目管理办法，同时对财政专项资金进行严格管理，年底对资金使用效果进行自评；项目产出方面，项目产出指标与预期值一致；项目效益方面，项目产生的生态效益与预期目标一致；项目满意度方面，项目产生的满意度调查指标值与预期目标一致。</w:t>
      </w:r>
    </w:p>
    <w:p>
      <w:pPr>
        <w:numPr>
          <w:ilvl w:val="0"/>
          <w:numId w:val="1"/>
        </w:numPr>
        <w:spacing w:line="540" w:lineRule="exact"/>
        <w:rPr>
          <w:rStyle w:val="19"/>
          <w:rFonts w:hint="eastAsia" w:ascii="黑体" w:hAnsi="黑体" w:eastAsia="黑体"/>
        </w:rPr>
      </w:pPr>
      <w:r>
        <w:rPr>
          <w:rStyle w:val="19"/>
          <w:rFonts w:hint="eastAsia" w:ascii="黑体" w:hAnsi="黑体" w:eastAsia="黑体"/>
          <w:b w:val="0"/>
          <w:spacing w:val="-4"/>
          <w:sz w:val="32"/>
          <w:szCs w:val="32"/>
        </w:rPr>
        <w:t>绩效评价指标分析</w:t>
      </w:r>
      <w:r>
        <w:rPr>
          <w:rStyle w:val="19"/>
          <w:rFonts w:hint="eastAsia" w:ascii="黑体" w:hAnsi="黑体" w:eastAsia="黑体"/>
        </w:rPr>
        <w:t xml:space="preserve"> </w:t>
      </w:r>
    </w:p>
    <w:p>
      <w:pPr>
        <w:numPr>
          <w:ilvl w:val="0"/>
          <w:numId w:val="1"/>
        </w:numPr>
        <w:spacing w:line="540" w:lineRule="exact"/>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w:t>
      </w:r>
      <w:r>
        <w:cr/>
      </w:r>
      <w:r>
        <w:rPr>
          <w:rStyle w:val="19"/>
          <w:rFonts w:hint="eastAsia" w:ascii="楷体" w:hAnsi="楷体" w:eastAsia="楷体"/>
          <w:b w:val="0"/>
          <w:bCs w:val="0"/>
          <w:spacing w:val="-4"/>
          <w:sz w:val="32"/>
          <w:szCs w:val="32"/>
        </w:rPr>
        <w:t>立项依据充分性，满分4分，得分4分，得分率100%。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项目已按照规定的程序申请设立、审批文件、材料齐全，符合相关要求。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本项目已将项目绩效目标细化分解为具体的绩效指标，并通过清晰、可衡量的指标值予以体现，与项目目标任务数或计划数相对应。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（1）测算标准合理性，满分3分，得分0分，得分率100%。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预算编制品目内容与项目内容不匹配，导致项目资金无法支付。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将测算过程分解为多个步骤，并对每个步骤进行详细分析。</w:t>
      </w:r>
      <w:r>
        <w:rPr>
          <w:rStyle w:val="19"/>
          <w:rFonts w:hint="eastAsia" w:ascii="楷体" w:hAnsi="楷体" w:eastAsia="楷体"/>
          <w:b w:val="0"/>
          <w:bCs w:val="0"/>
          <w:spacing w:val="-4"/>
          <w:sz w:val="32"/>
          <w:szCs w:val="32"/>
          <w:lang w:eastAsia="zh-CN"/>
        </w:rPr>
        <w:tab/>
      </w:r>
    </w:p>
    <w:p>
      <w:pPr>
        <w:spacing w:line="540" w:lineRule="exact"/>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此项目资金到位及时，资金到位率100%。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（2）预算执行率，满分6分，得分</w:t>
      </w:r>
      <w:r>
        <w:rPr>
          <w:rStyle w:val="19"/>
          <w:rFonts w:hint="eastAsia" w:ascii="楷体" w:hAnsi="楷体" w:eastAsia="楷体"/>
          <w:b w:val="0"/>
          <w:bCs w:val="0"/>
          <w:spacing w:val="-4"/>
          <w:sz w:val="32"/>
          <w:szCs w:val="32"/>
          <w:lang w:val="en-US" w:eastAsia="zh-CN"/>
        </w:rPr>
        <w:t>6</w:t>
      </w:r>
      <w:r>
        <w:rPr>
          <w:rStyle w:val="19"/>
          <w:rFonts w:hint="eastAsia" w:ascii="楷体" w:hAnsi="楷体" w:eastAsia="楷体"/>
          <w:b w:val="0"/>
          <w:bCs w:val="0"/>
          <w:spacing w:val="-4"/>
          <w:sz w:val="32"/>
          <w:szCs w:val="32"/>
        </w:rPr>
        <w:t>分，得分率</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截止2024年12月31日，项目资金支付604.48万元，预算执行率为</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w:t>
      </w:r>
      <w:r>
        <w:cr/>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我单位制定了相关项目管理办法，同时对财政专项资金进行严格管理。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由部门提出项目预算支出管理制度，经过与政府分管领导沟通后，报党组会议研究执行，财务对资金的使用合法合规性进行监督，年底对资金使用效果进行自评。</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国有林管护面积（万亩）&gt;86.67万亩，满分3分，得分3分，得分率100%。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11"/>
          <w:sz w:val="32"/>
          <w:szCs w:val="32"/>
        </w:rPr>
        <w:t>实际完成国有林管护面积（万亩）&gt;86.67万亩，与预期目标一致。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各实施单位管护人员培训次数≥2次，满分3分，得分3分，得分率100%。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11"/>
          <w:sz w:val="32"/>
          <w:szCs w:val="32"/>
        </w:rPr>
        <w:t>实际完成各实施单位管护人员培训次数≥2次，与预期目标一致。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实施单位管护人员培训参与率≥90%，满分5分，得分5分，得分率100%。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实际完成实施单位管护人员培训参与率≥90%，与预期目标一致。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国有林（国家级公益林）管护人员劳务报酬按时发放率（%）=100%，满分5分，得分5分，得分率100%。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实际完成国有林（国家级公益林）管护人员劳务报酬按时发放率（%）=100%，与预期目标一致。</w:t>
      </w:r>
      <w:r>
        <w:cr/>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森林保护修复（国有国家级公益林）补助成本≤705万元，满分6分，得分6分，得分率100%。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实际完成森林保护修复（国有国家级公益林）补助成本≤705万元，与预期目标一致。</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1.生态效益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确保公益林资源得到有效保护，满分30分，得分30分，得分率100%。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实际完成公益林资源得到有效保护，与预期目标一致。</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pPr>
        <w:spacing w:line="540" w:lineRule="exact"/>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林区职工及周边群众满意度，满分8分，得分8分，得分率100%。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实际完成林区职工及周边群众满意度≥85%，与预期目标一致。</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pPr>
        <w:spacing w:line="540" w:lineRule="exact"/>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1.聚焦重点任务，推动项目工作落地落实</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w:t>
      </w:r>
      <w:r>
        <w:rPr>
          <w:rStyle w:val="19"/>
          <w:rFonts w:hint="eastAsia" w:ascii="楷体" w:hAnsi="楷体" w:eastAsia="楷体"/>
          <w:b w:val="0"/>
          <w:bCs w:val="0"/>
          <w:spacing w:val="-4"/>
          <w:sz w:val="32"/>
          <w:szCs w:val="32"/>
          <w:lang w:val="en-US" w:eastAsia="zh-CN"/>
        </w:rPr>
        <w:t>单位</w:t>
      </w:r>
      <w:r>
        <w:rPr>
          <w:rStyle w:val="19"/>
          <w:rFonts w:hint="eastAsia" w:ascii="楷体" w:hAnsi="楷体" w:eastAsia="楷体"/>
          <w:b w:val="0"/>
          <w:bCs w:val="0"/>
          <w:spacing w:val="-4"/>
          <w:sz w:val="32"/>
          <w:szCs w:val="32"/>
        </w:rPr>
        <w:t>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9"/>
          <w:rFonts w:hint="eastAsia" w:ascii="楷体" w:hAnsi="楷体" w:eastAsia="楷体"/>
          <w:b w:val="0"/>
          <w:bCs w:val="0"/>
          <w:spacing w:val="-4"/>
          <w:sz w:val="32"/>
          <w:szCs w:val="32"/>
          <w:lang w:val="en-US" w:eastAsia="zh-CN"/>
        </w:rPr>
        <w:t>了</w:t>
      </w:r>
      <w:r>
        <w:rPr>
          <w:rStyle w:val="19"/>
          <w:rFonts w:hint="eastAsia" w:ascii="楷体" w:hAnsi="楷体" w:eastAsia="楷体"/>
          <w:b w:val="0"/>
          <w:bCs w:val="0"/>
          <w:spacing w:val="-4"/>
          <w:sz w:val="32"/>
          <w:szCs w:val="32"/>
        </w:rPr>
        <w:t>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2024年中央林业草原生态保护恢复资金全年预算金额705万元，截止12月31日，资金执行数为604.</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8万元，结转资金67.02万元，结余资金33.5</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万元，执行率为86%。资金支付率低的主要原因是因年初针对管护能力提升项目编制采购品目有误，导致在政采云平台无法下单，资金支付率为零。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整改措施：一是计划在2025年初申报政府采购预算时做好项目采购预算，保障项目正常实施，及时拨付项目资金。二是加强负责项目业务人员的系统培训，不断提高业务能力。</w:t>
      </w:r>
    </w:p>
    <w:p>
      <w:pPr>
        <w:spacing w:line="540" w:lineRule="exact"/>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none"/>
          <w:lang w:val="en-US" w:eastAsia="zh-CN"/>
        </w:rPr>
        <w:t>六</w:t>
      </w:r>
      <w:r>
        <w:rPr>
          <w:rStyle w:val="19"/>
          <w:rFonts w:hint="eastAsia" w:ascii="黑体" w:hAnsi="黑体" w:eastAsia="黑体"/>
          <w:b w:val="0"/>
          <w:spacing w:val="-4"/>
          <w:sz w:val="32"/>
          <w:szCs w:val="32"/>
        </w:rPr>
        <w:t>、有关建议</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2.扎实推进档案规范化建设，提升档案管理水平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3.高度重视，加强领导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0C241CB6"/>
    <w:rsid w:val="73E145B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2025-11-06T04:28:01Z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5894</Words>
  <Characters>6184</Characters>
  <Lines>5</Lines>
  <Paragraphs>1</Paragraphs>
  <TotalTime>27</TotalTime>
  <ScaleCrop>false</ScaleCrop>
  <LinksUpToDate>false</LinksUpToDate>
  <CharactersWithSpaces>6223</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Props1.xml><?xml version="1.0" encoding="utf-8"?>
<ds:datastoreItem xmlns:ds="http://schemas.openxmlformats.org/officeDocument/2006/customXml" ds:itemID="{8b0dc030-9495-4b73-ac8d-f099778e822c}">
  <ds:schemaRefs/>
</ds:datastoreItem>
</file>

<file path=customXml/itemProps2.xml><?xml version="1.0" encoding="utf-8"?>
<ds:datastoreItem xmlns:ds="http://schemas.openxmlformats.org/officeDocument/2006/customXml" ds:itemID="{0281a586-597a-48d5-90dc-22449fe6898d}">
  <ds:schemaRefs/>
</ds:datastoreItem>
</file>

<file path=customXml/itemProps3.xml><?xml version="1.0" encoding="utf-8"?>
<ds:datastoreItem xmlns:ds="http://schemas.openxmlformats.org/officeDocument/2006/customXml" ds:itemID="{efb16e54-ed8f-4107-9a40-441914fbdd3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5672</Words>
  <Characters>5938</Characters>
  <Lines>5</Lines>
  <Paragraphs>1</Paragraphs>
  <TotalTime>35</TotalTime>
  <ScaleCrop>false</ScaleCrop>
  <LinksUpToDate>false</LinksUpToDate>
  <CharactersWithSpaces>5998</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稀饭</cp:lastModifiedBy>
  <cp:lastPrinted>2025-11-06T11:44:43Z</cp:lastPrinted>
  <dcterms:modified xsi:type="dcterms:W3CDTF">2025-11-06T11:48:02Z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eyJoZGlkIjoiYjAwZDY0MzljNDE2MjBkZjY5ZjY0ODNhMGVjMWM0N2EiLCJ1c2VySWQiOiIxMDA1MzM3ODU4In0_x003D_</vt:lpwstr>
  </property>
</Properties>
</file>